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EB" w:rsidRPr="00D7510A" w:rsidRDefault="00570858" w:rsidP="00EA1A1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Safeguarding Adults Board safeguarding and domestic abuse audit tool</w:t>
      </w:r>
    </w:p>
    <w:p w:rsidR="00D7510A" w:rsidRDefault="00D7510A" w:rsidP="00D75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510A" w:rsidRDefault="00D7510A" w:rsidP="00D75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510A" w:rsidRPr="00D7510A" w:rsidRDefault="00D7510A" w:rsidP="00D75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0858" w:rsidRPr="00D7510A" w:rsidRDefault="00D7510A" w:rsidP="00D7510A">
      <w:pPr>
        <w:rPr>
          <w:rFonts w:ascii="Verdana" w:hAnsi="Verdana"/>
          <w:sz w:val="20"/>
          <w:szCs w:val="20"/>
        </w:rPr>
      </w:pPr>
      <w:r w:rsidRPr="00D7510A">
        <w:rPr>
          <w:rFonts w:ascii="Verdana" w:hAnsi="Verdana"/>
          <w:sz w:val="20"/>
          <w:szCs w:val="20"/>
        </w:rPr>
        <w:t>Use this audit tool to reflect on</w:t>
      </w:r>
      <w:r w:rsidR="00570858">
        <w:rPr>
          <w:rFonts w:ascii="Verdana" w:hAnsi="Verdana"/>
          <w:sz w:val="20"/>
          <w:szCs w:val="20"/>
        </w:rPr>
        <w:t xml:space="preserve"> local</w:t>
      </w:r>
      <w:r w:rsidRPr="00D7510A">
        <w:rPr>
          <w:rFonts w:ascii="Verdana" w:hAnsi="Verdana"/>
          <w:sz w:val="20"/>
          <w:szCs w:val="20"/>
        </w:rPr>
        <w:t xml:space="preserve"> strengths and areas for development in </w:t>
      </w:r>
      <w:r w:rsidR="00570858">
        <w:rPr>
          <w:rFonts w:ascii="Verdana" w:hAnsi="Verdana"/>
          <w:sz w:val="20"/>
          <w:szCs w:val="20"/>
        </w:rPr>
        <w:t>supporting</w:t>
      </w:r>
      <w:r w:rsidRPr="00D7510A">
        <w:rPr>
          <w:rFonts w:ascii="Verdana" w:hAnsi="Verdana"/>
          <w:sz w:val="20"/>
          <w:szCs w:val="20"/>
        </w:rPr>
        <w:t xml:space="preserve"> people who have care and support needs and are experiencing domestic abuse.</w:t>
      </w:r>
      <w:r w:rsidR="00570858">
        <w:rPr>
          <w:rFonts w:ascii="Verdana" w:hAnsi="Verdana"/>
          <w:sz w:val="20"/>
          <w:szCs w:val="20"/>
        </w:rPr>
        <w:t xml:space="preserve"> It is divided into practice and strategic level.</w:t>
      </w:r>
      <w:r w:rsidR="005057F6">
        <w:rPr>
          <w:rFonts w:ascii="Verdana" w:hAnsi="Verdana"/>
          <w:sz w:val="20"/>
          <w:szCs w:val="20"/>
        </w:rPr>
        <w:t xml:space="preserve"> Not all are SAB responsibilities, but each agency will have a part in contributing the different aspects of an effective response to domestic abuse of people with care needs</w:t>
      </w:r>
      <w:r w:rsidR="0034489A">
        <w:rPr>
          <w:rFonts w:ascii="Verdana" w:hAnsi="Verdana"/>
          <w:sz w:val="20"/>
          <w:szCs w:val="20"/>
        </w:rPr>
        <w:t>, which relates to the SAB requirement to ensure that safeguarding arrangements are effective</w:t>
      </w:r>
      <w:r w:rsidR="005057F6">
        <w:rPr>
          <w:rFonts w:ascii="Verdana" w:hAnsi="Verdana"/>
          <w:sz w:val="20"/>
          <w:szCs w:val="20"/>
        </w:rPr>
        <w:t xml:space="preserve">. </w:t>
      </w:r>
    </w:p>
    <w:p w:rsidR="00D7510A" w:rsidRDefault="00D7510A" w:rsidP="00D7510A">
      <w:pPr>
        <w:rPr>
          <w:rFonts w:ascii="Verdana" w:hAnsi="Verdana"/>
          <w:sz w:val="20"/>
          <w:szCs w:val="20"/>
        </w:rPr>
      </w:pPr>
      <w:r w:rsidRPr="00D7510A">
        <w:rPr>
          <w:rFonts w:ascii="Verdana" w:hAnsi="Verdana"/>
          <w:sz w:val="20"/>
          <w:szCs w:val="20"/>
        </w:rPr>
        <w:t xml:space="preserve">N.B. the tool runs </w:t>
      </w:r>
      <w:r w:rsidR="0034489A" w:rsidRPr="0034489A">
        <w:rPr>
          <w:rFonts w:ascii="Verdana" w:hAnsi="Verdana"/>
          <w:sz w:val="20"/>
          <w:szCs w:val="20"/>
        </w:rPr>
        <w:t>over numerous</w:t>
      </w:r>
      <w:r w:rsidRPr="0034489A">
        <w:rPr>
          <w:rFonts w:ascii="Verdana" w:hAnsi="Verdana"/>
          <w:sz w:val="20"/>
          <w:szCs w:val="20"/>
        </w:rPr>
        <w:t xml:space="preserve"> </w:t>
      </w:r>
      <w:r w:rsidRPr="00D7510A">
        <w:rPr>
          <w:rFonts w:ascii="Verdana" w:hAnsi="Verdana"/>
          <w:sz w:val="20"/>
          <w:szCs w:val="20"/>
        </w:rPr>
        <w:t>pages.</w:t>
      </w:r>
      <w:bookmarkStart w:id="0" w:name="_GoBack"/>
      <w:bookmarkEnd w:id="0"/>
    </w:p>
    <w:p w:rsidR="004711D6" w:rsidRPr="00D7510A" w:rsidRDefault="004711D6" w:rsidP="00D7510A">
      <w:pPr>
        <w:rPr>
          <w:rFonts w:ascii="Verdana" w:hAnsi="Verdana"/>
          <w:sz w:val="20"/>
          <w:szCs w:val="20"/>
        </w:rPr>
      </w:pPr>
    </w:p>
    <w:p w:rsidR="00D7510A" w:rsidRPr="004711D6" w:rsidRDefault="004711D6" w:rsidP="00D7510A">
      <w:pPr>
        <w:rPr>
          <w:rFonts w:ascii="Verdana" w:hAnsi="Verdana"/>
          <w:b/>
          <w:sz w:val="20"/>
          <w:szCs w:val="20"/>
        </w:rPr>
      </w:pPr>
      <w:r w:rsidRPr="004711D6">
        <w:rPr>
          <w:rFonts w:ascii="Verdana" w:hAnsi="Verdana"/>
          <w:b/>
          <w:sz w:val="20"/>
          <w:szCs w:val="20"/>
        </w:rPr>
        <w:t xml:space="preserve">How confident do you feel the quality of response to domestic abuse of people who have care needs in the following </w:t>
      </w:r>
      <w:proofErr w:type="gramStart"/>
      <w:r w:rsidRPr="004711D6">
        <w:rPr>
          <w:rFonts w:ascii="Verdana" w:hAnsi="Verdana"/>
          <w:b/>
          <w:sz w:val="20"/>
          <w:szCs w:val="20"/>
        </w:rPr>
        <w:t>areas</w:t>
      </w:r>
      <w:r w:rsidR="00570858" w:rsidRPr="004711D6">
        <w:rPr>
          <w:rFonts w:ascii="Verdana" w:hAnsi="Verdana"/>
          <w:b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848"/>
        <w:gridCol w:w="4314"/>
      </w:tblGrid>
      <w:tr w:rsidR="00D7510A" w:rsidRPr="00D7510A" w:rsidTr="004711D6">
        <w:trPr>
          <w:tblHeader/>
        </w:trPr>
        <w:tc>
          <w:tcPr>
            <w:tcW w:w="3080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D7510A" w:rsidRPr="00570858" w:rsidRDefault="00D7510A" w:rsidP="00372A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858">
              <w:rPr>
                <w:rFonts w:ascii="Verdana" w:hAnsi="Verdana"/>
                <w:b/>
                <w:sz w:val="20"/>
                <w:szCs w:val="20"/>
              </w:rPr>
              <w:t xml:space="preserve">Score 1 </w:t>
            </w:r>
          </w:p>
          <w:p w:rsidR="00D7510A" w:rsidRPr="00570858" w:rsidRDefault="00D7510A" w:rsidP="00372A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858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570858">
              <w:rPr>
                <w:rFonts w:ascii="Verdana" w:hAnsi="Verdana"/>
                <w:b/>
                <w:sz w:val="20"/>
                <w:szCs w:val="20"/>
              </w:rPr>
              <w:t>strongly disagree</w:t>
            </w:r>
            <w:r w:rsidRPr="00570858">
              <w:rPr>
                <w:rFonts w:ascii="Verdana" w:hAnsi="Verdana"/>
                <w:b/>
                <w:sz w:val="20"/>
                <w:szCs w:val="20"/>
              </w:rPr>
              <w:t xml:space="preserve">) – </w:t>
            </w:r>
          </w:p>
          <w:p w:rsidR="00D7510A" w:rsidRPr="00570858" w:rsidRDefault="00D7510A" w:rsidP="005708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858">
              <w:rPr>
                <w:rFonts w:ascii="Verdana" w:hAnsi="Verdana"/>
                <w:b/>
                <w:sz w:val="20"/>
                <w:szCs w:val="20"/>
              </w:rPr>
              <w:t>5 (</w:t>
            </w:r>
            <w:r w:rsidR="00570858">
              <w:rPr>
                <w:rFonts w:ascii="Verdana" w:hAnsi="Verdana"/>
                <w:b/>
                <w:sz w:val="20"/>
                <w:szCs w:val="20"/>
              </w:rPr>
              <w:t>strongly agree</w:t>
            </w:r>
            <w:r w:rsidRPr="00570858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314" w:type="dxa"/>
          </w:tcPr>
          <w:p w:rsidR="00D7510A" w:rsidRPr="00570858" w:rsidRDefault="00D7510A" w:rsidP="00372A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858">
              <w:rPr>
                <w:rFonts w:ascii="Verdana" w:hAnsi="Verdana"/>
                <w:b/>
                <w:sz w:val="20"/>
                <w:szCs w:val="20"/>
              </w:rPr>
              <w:t>Action needed?</w:t>
            </w:r>
          </w:p>
        </w:tc>
      </w:tr>
      <w:tr w:rsidR="00570858" w:rsidRPr="00D7510A" w:rsidTr="00DC38DB">
        <w:tc>
          <w:tcPr>
            <w:tcW w:w="3080" w:type="dxa"/>
          </w:tcPr>
          <w:p w:rsidR="00570858" w:rsidRPr="00570858" w:rsidRDefault="00570858" w:rsidP="00372A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858">
              <w:rPr>
                <w:rFonts w:ascii="Verdana" w:hAnsi="Verdana"/>
                <w:b/>
                <w:sz w:val="20"/>
                <w:szCs w:val="20"/>
              </w:rPr>
              <w:t>PRACTICE LEVEL</w:t>
            </w:r>
          </w:p>
          <w:p w:rsidR="00570858" w:rsidRPr="00D7510A" w:rsidRDefault="00570858" w:rsidP="00372AB6">
            <w:pPr>
              <w:rPr>
                <w:rFonts w:ascii="Verdana" w:hAnsi="Verdana"/>
                <w:sz w:val="20"/>
                <w:szCs w:val="20"/>
              </w:rPr>
            </w:pPr>
            <w:r w:rsidRPr="00570858">
              <w:rPr>
                <w:rFonts w:ascii="Verdana" w:hAnsi="Verdana"/>
                <w:b/>
                <w:sz w:val="20"/>
                <w:szCs w:val="20"/>
              </w:rPr>
              <w:t xml:space="preserve">Skills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and knowledge </w:t>
            </w:r>
            <w:r w:rsidRPr="00570858">
              <w:rPr>
                <w:rFonts w:ascii="Verdana" w:hAnsi="Verdana"/>
                <w:b/>
                <w:sz w:val="20"/>
                <w:szCs w:val="20"/>
              </w:rPr>
              <w:t>that multi-agency practitioners need to have to work effectively with people who experience domestic abuse</w:t>
            </w:r>
          </w:p>
        </w:tc>
        <w:tc>
          <w:tcPr>
            <w:tcW w:w="1848" w:type="dxa"/>
          </w:tcPr>
          <w:p w:rsidR="00570858" w:rsidRPr="00D7510A" w:rsidRDefault="00570858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570858" w:rsidRPr="00D7510A" w:rsidRDefault="00570858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10A" w:rsidRPr="00D7510A" w:rsidTr="00DC38DB">
        <w:tc>
          <w:tcPr>
            <w:tcW w:w="3080" w:type="dxa"/>
          </w:tcPr>
          <w:p w:rsidR="004711D6" w:rsidRDefault="004711D6" w:rsidP="00570858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570858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Default="00570858" w:rsidP="005708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Practitioners have the skills and knowledge to recognise </w:t>
            </w:r>
            <w:r w:rsidR="00D7510A" w:rsidRPr="00D7510A">
              <w:rPr>
                <w:rFonts w:ascii="Verdana" w:hAnsi="Verdana"/>
                <w:sz w:val="20"/>
                <w:szCs w:val="20"/>
              </w:rPr>
              <w:t>con</w:t>
            </w:r>
            <w:r>
              <w:rPr>
                <w:rFonts w:ascii="Verdana" w:hAnsi="Verdana"/>
                <w:sz w:val="20"/>
                <w:szCs w:val="20"/>
              </w:rPr>
              <w:t>trolling and coercive behaviour</w:t>
            </w:r>
          </w:p>
          <w:p w:rsidR="004711D6" w:rsidRDefault="004711D6" w:rsidP="00570858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Pr="00D7510A" w:rsidRDefault="004711D6" w:rsidP="005708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10A" w:rsidRPr="00D7510A" w:rsidTr="00DC38DB">
        <w:tc>
          <w:tcPr>
            <w:tcW w:w="3080" w:type="dxa"/>
          </w:tcPr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570858" w:rsidP="00372A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Practitioners can make</w:t>
            </w:r>
            <w:r w:rsidR="00D7510A" w:rsidRPr="00D7510A">
              <w:rPr>
                <w:rFonts w:ascii="Verdana" w:hAnsi="Verdana"/>
                <w:sz w:val="20"/>
                <w:szCs w:val="20"/>
              </w:rPr>
              <w:t xml:space="preserve"> safe</w:t>
            </w:r>
            <w:r w:rsidR="00DC38DB">
              <w:rPr>
                <w:rFonts w:ascii="Verdana" w:hAnsi="Verdana"/>
                <w:sz w:val="20"/>
                <w:szCs w:val="20"/>
              </w:rPr>
              <w:t xml:space="preserve"> enquiries about domestic abuse</w:t>
            </w:r>
            <w:r w:rsidR="00C96C57">
              <w:rPr>
                <w:rFonts w:ascii="Verdana" w:hAnsi="Verdana"/>
                <w:sz w:val="20"/>
                <w:szCs w:val="20"/>
              </w:rPr>
              <w:t>, and know what to do if disclosures are made</w:t>
            </w:r>
          </w:p>
        </w:tc>
        <w:tc>
          <w:tcPr>
            <w:tcW w:w="1848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Pr="00D7510A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10A" w:rsidRPr="00D7510A" w:rsidTr="00DC38DB">
        <w:tc>
          <w:tcPr>
            <w:tcW w:w="3080" w:type="dxa"/>
          </w:tcPr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8D2D4A" w:rsidRPr="00D7510A" w:rsidRDefault="00570858" w:rsidP="00372A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Practitioners can a</w:t>
            </w:r>
            <w:r w:rsidR="00D7510A" w:rsidRPr="00D7510A">
              <w:rPr>
                <w:rFonts w:ascii="Verdana" w:hAnsi="Verdana"/>
                <w:sz w:val="20"/>
                <w:szCs w:val="20"/>
              </w:rPr>
              <w:t>ssess someone’s mental capacity under the Mental Capacity Act (MCA) 2005</w:t>
            </w:r>
            <w:r w:rsidR="00DC38DB">
              <w:rPr>
                <w:rFonts w:ascii="Verdana" w:hAnsi="Verdana"/>
                <w:sz w:val="20"/>
                <w:szCs w:val="20"/>
              </w:rPr>
              <w:t>, incl</w:t>
            </w:r>
            <w:r w:rsidR="004711D6">
              <w:rPr>
                <w:rFonts w:ascii="Verdana" w:hAnsi="Verdana"/>
                <w:sz w:val="20"/>
                <w:szCs w:val="20"/>
              </w:rPr>
              <w:t>uding in the context of coercion</w:t>
            </w:r>
          </w:p>
        </w:tc>
        <w:tc>
          <w:tcPr>
            <w:tcW w:w="1848" w:type="dxa"/>
          </w:tcPr>
          <w:p w:rsid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4711D6" w:rsidRPr="00D7510A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10A" w:rsidRPr="00D7510A" w:rsidTr="00DC38DB">
        <w:tc>
          <w:tcPr>
            <w:tcW w:w="3080" w:type="dxa"/>
          </w:tcPr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Default="00570858" w:rsidP="00372A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Practitioners use the </w:t>
            </w:r>
            <w:r w:rsidR="00D7510A" w:rsidRPr="00D7510A">
              <w:rPr>
                <w:rFonts w:ascii="Verdana" w:hAnsi="Verdana"/>
                <w:sz w:val="20"/>
                <w:szCs w:val="20"/>
              </w:rPr>
              <w:t xml:space="preserve"> principles of Making Safeguarding Personal when makin</w:t>
            </w:r>
            <w:r w:rsidR="00C96C57">
              <w:rPr>
                <w:rFonts w:ascii="Verdana" w:hAnsi="Verdana"/>
                <w:sz w:val="20"/>
                <w:szCs w:val="20"/>
              </w:rPr>
              <w:t>g safeguarding</w:t>
            </w:r>
            <w:r>
              <w:rPr>
                <w:rFonts w:ascii="Verdana" w:hAnsi="Verdana"/>
                <w:sz w:val="20"/>
                <w:szCs w:val="20"/>
              </w:rPr>
              <w:t xml:space="preserve"> enquiries and i</w:t>
            </w:r>
            <w:r w:rsidRPr="00D7510A">
              <w:rPr>
                <w:rFonts w:ascii="Verdana" w:hAnsi="Verdana"/>
                <w:sz w:val="20"/>
                <w:szCs w:val="20"/>
              </w:rPr>
              <w:t>nvolve people in safeg</w:t>
            </w:r>
            <w:r>
              <w:rPr>
                <w:rFonts w:ascii="Verdana" w:hAnsi="Verdana"/>
                <w:sz w:val="20"/>
                <w:szCs w:val="20"/>
              </w:rPr>
              <w:t>uarding and/ or safety planning</w:t>
            </w:r>
          </w:p>
          <w:p w:rsidR="004711D6" w:rsidRPr="00D7510A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10A" w:rsidRPr="00D7510A" w:rsidTr="00DC38DB">
        <w:tc>
          <w:tcPr>
            <w:tcW w:w="3080" w:type="dxa"/>
          </w:tcPr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C38DB" w:rsidP="00372A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Practitioners w</w:t>
            </w:r>
            <w:r w:rsidR="00D7510A" w:rsidRPr="00D7510A">
              <w:rPr>
                <w:rFonts w:ascii="Verdana" w:hAnsi="Verdana"/>
                <w:sz w:val="20"/>
                <w:szCs w:val="20"/>
              </w:rPr>
              <w:t xml:space="preserve">ork effectively with multi-agency colleagues in cases of </w:t>
            </w:r>
            <w:r>
              <w:rPr>
                <w:rFonts w:ascii="Verdana" w:hAnsi="Verdana"/>
                <w:sz w:val="20"/>
                <w:szCs w:val="20"/>
              </w:rPr>
              <w:t>safeguarding and domestic abuse</w:t>
            </w:r>
          </w:p>
        </w:tc>
        <w:tc>
          <w:tcPr>
            <w:tcW w:w="1848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10A" w:rsidRPr="00D7510A" w:rsidTr="00DC38DB">
        <w:tc>
          <w:tcPr>
            <w:tcW w:w="3080" w:type="dxa"/>
          </w:tcPr>
          <w:p w:rsidR="004711D6" w:rsidRDefault="004711D6" w:rsidP="00570858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570858" w:rsidP="005708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Practitioners can s</w:t>
            </w:r>
            <w:r w:rsidR="00D7510A" w:rsidRPr="00D7510A">
              <w:rPr>
                <w:rFonts w:ascii="Verdana" w:hAnsi="Verdana"/>
                <w:sz w:val="20"/>
                <w:szCs w:val="20"/>
              </w:rPr>
              <w:t xml:space="preserve">ignpost people to a range of legal responses </w:t>
            </w:r>
            <w:r>
              <w:rPr>
                <w:rFonts w:ascii="Verdana" w:hAnsi="Verdana"/>
                <w:sz w:val="20"/>
                <w:szCs w:val="20"/>
              </w:rPr>
              <w:t xml:space="preserve">and domestic abuse services </w:t>
            </w:r>
            <w:r w:rsidR="00DC38DB">
              <w:rPr>
                <w:rFonts w:ascii="Verdana" w:hAnsi="Verdana"/>
                <w:sz w:val="20"/>
                <w:szCs w:val="20"/>
              </w:rPr>
              <w:t>that could support them</w:t>
            </w:r>
          </w:p>
        </w:tc>
        <w:tc>
          <w:tcPr>
            <w:tcW w:w="1848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10A" w:rsidRPr="00D7510A" w:rsidTr="00DC38DB">
        <w:tc>
          <w:tcPr>
            <w:tcW w:w="3080" w:type="dxa"/>
          </w:tcPr>
          <w:p w:rsidR="00D7510A" w:rsidRPr="009F128C" w:rsidRDefault="009F128C" w:rsidP="00372A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128C">
              <w:rPr>
                <w:rFonts w:ascii="Verdana" w:hAnsi="Verdana"/>
                <w:b/>
                <w:sz w:val="20"/>
                <w:szCs w:val="20"/>
              </w:rPr>
              <w:t xml:space="preserve">STRUCTURAL/ ORGANISATIONAL LEVEL </w:t>
            </w:r>
          </w:p>
        </w:tc>
        <w:tc>
          <w:tcPr>
            <w:tcW w:w="1848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D7510A" w:rsidRPr="00D7510A" w:rsidRDefault="00D7510A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128C" w:rsidRPr="00D7510A" w:rsidTr="00DC38DB">
        <w:tc>
          <w:tcPr>
            <w:tcW w:w="3080" w:type="dxa"/>
          </w:tcPr>
          <w:p w:rsidR="004711D6" w:rsidRDefault="004711D6" w:rsidP="00433BF5">
            <w:pPr>
              <w:rPr>
                <w:rFonts w:ascii="Verdana" w:hAnsi="Verdana"/>
                <w:sz w:val="20"/>
                <w:szCs w:val="20"/>
              </w:rPr>
            </w:pPr>
          </w:p>
          <w:p w:rsidR="00DE5E75" w:rsidRPr="00433BF5" w:rsidRDefault="00433BF5" w:rsidP="00433BF5">
            <w:pPr>
              <w:rPr>
                <w:rFonts w:ascii="Verdana" w:hAnsi="Verdana"/>
                <w:sz w:val="20"/>
                <w:szCs w:val="20"/>
              </w:rPr>
            </w:pPr>
            <w:r w:rsidRPr="00433BF5">
              <w:rPr>
                <w:rFonts w:ascii="Verdana" w:hAnsi="Verdana"/>
                <w:sz w:val="20"/>
                <w:szCs w:val="20"/>
              </w:rPr>
              <w:t>The partnerships and resources</w:t>
            </w:r>
            <w:r w:rsidR="005057F6" w:rsidRPr="00433BF5">
              <w:rPr>
                <w:rFonts w:ascii="Verdana" w:hAnsi="Verdana"/>
                <w:sz w:val="20"/>
                <w:szCs w:val="20"/>
              </w:rPr>
              <w:t xml:space="preserve"> we have to support adults with care and support needs who experience domestic abuse in our area</w:t>
            </w:r>
            <w:r w:rsidRPr="00433BF5">
              <w:rPr>
                <w:rFonts w:ascii="Verdana" w:hAnsi="Verdana"/>
                <w:sz w:val="20"/>
                <w:szCs w:val="20"/>
              </w:rPr>
              <w:t xml:space="preserve"> are effective</w:t>
            </w:r>
          </w:p>
          <w:p w:rsidR="009F128C" w:rsidRPr="009F128C" w:rsidRDefault="009F128C" w:rsidP="00372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128C" w:rsidRPr="00D7510A" w:rsidTr="00DC38DB">
        <w:tc>
          <w:tcPr>
            <w:tcW w:w="3080" w:type="dxa"/>
          </w:tcPr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9F128C" w:rsidRDefault="00433BF5" w:rsidP="00372AB6">
            <w:pPr>
              <w:rPr>
                <w:rFonts w:ascii="Verdana" w:hAnsi="Verdana"/>
                <w:sz w:val="20"/>
                <w:szCs w:val="20"/>
              </w:rPr>
            </w:pPr>
            <w:r w:rsidRPr="00433BF5">
              <w:rPr>
                <w:rFonts w:ascii="Verdana" w:hAnsi="Verdana"/>
                <w:sz w:val="20"/>
                <w:szCs w:val="20"/>
              </w:rPr>
              <w:t xml:space="preserve">We commission </w:t>
            </w:r>
            <w:r>
              <w:rPr>
                <w:rFonts w:ascii="Verdana" w:hAnsi="Verdana"/>
                <w:sz w:val="20"/>
                <w:szCs w:val="20"/>
              </w:rPr>
              <w:t>specialist services for people who have care needs and experience domestic abuse</w:t>
            </w:r>
          </w:p>
          <w:p w:rsidR="004711D6" w:rsidRPr="00433BF5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128C" w:rsidRPr="00D7510A" w:rsidTr="00DC38DB">
        <w:tc>
          <w:tcPr>
            <w:tcW w:w="3080" w:type="dxa"/>
          </w:tcPr>
          <w:p w:rsidR="009F128C" w:rsidRDefault="005057F6" w:rsidP="00372AB6">
            <w:pPr>
              <w:rPr>
                <w:rFonts w:ascii="Verdana" w:hAnsi="Verdana"/>
                <w:sz w:val="20"/>
                <w:szCs w:val="20"/>
              </w:rPr>
            </w:pPr>
            <w:r w:rsidRPr="005057F6">
              <w:rPr>
                <w:rFonts w:ascii="Verdana" w:hAnsi="Verdana"/>
                <w:sz w:val="20"/>
                <w:szCs w:val="20"/>
              </w:rPr>
              <w:t>Attitudes towards responding to</w:t>
            </w:r>
            <w:r>
              <w:rPr>
                <w:rFonts w:ascii="Verdana" w:hAnsi="Verdana"/>
                <w:sz w:val="20"/>
                <w:szCs w:val="20"/>
              </w:rPr>
              <w:t xml:space="preserve"> domestic </w:t>
            </w:r>
            <w:r w:rsidR="00DC38DB">
              <w:rPr>
                <w:rFonts w:ascii="Verdana" w:hAnsi="Verdana"/>
                <w:sz w:val="20"/>
                <w:szCs w:val="20"/>
              </w:rPr>
              <w:t>abuse facilitate a good response from organisations</w:t>
            </w:r>
          </w:p>
          <w:p w:rsidR="004711D6" w:rsidRPr="005057F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128C" w:rsidRPr="00D7510A" w:rsidTr="00DC38DB">
        <w:tc>
          <w:tcPr>
            <w:tcW w:w="3080" w:type="dxa"/>
          </w:tcPr>
          <w:p w:rsidR="004711D6" w:rsidRDefault="004711D6" w:rsidP="00DC38DB">
            <w:pPr>
              <w:rPr>
                <w:rFonts w:ascii="Verdana" w:hAnsi="Verdana"/>
                <w:sz w:val="20"/>
                <w:szCs w:val="20"/>
              </w:rPr>
            </w:pPr>
          </w:p>
          <w:p w:rsidR="009F128C" w:rsidRDefault="00DC38DB" w:rsidP="00DC38DB">
            <w:pPr>
              <w:rPr>
                <w:rFonts w:ascii="Verdana" w:hAnsi="Verdana"/>
                <w:sz w:val="20"/>
                <w:szCs w:val="20"/>
              </w:rPr>
            </w:pPr>
            <w:r w:rsidRPr="00DC38DB">
              <w:rPr>
                <w:rFonts w:ascii="Verdana" w:hAnsi="Verdana"/>
                <w:sz w:val="20"/>
                <w:szCs w:val="20"/>
              </w:rPr>
              <w:t>Staff are supported</w:t>
            </w:r>
            <w:r>
              <w:rPr>
                <w:rFonts w:ascii="Verdana" w:hAnsi="Verdana"/>
                <w:sz w:val="20"/>
                <w:szCs w:val="20"/>
              </w:rPr>
              <w:t xml:space="preserve"> by organisations (e.g. through training, informed management and supervision) to work with people experiencing DV</w:t>
            </w:r>
          </w:p>
          <w:p w:rsidR="004711D6" w:rsidRPr="00DC38DB" w:rsidRDefault="004711D6" w:rsidP="00DC38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6C57" w:rsidRPr="00D7510A" w:rsidTr="00DC38DB">
        <w:tc>
          <w:tcPr>
            <w:tcW w:w="3080" w:type="dxa"/>
          </w:tcPr>
          <w:p w:rsidR="004711D6" w:rsidRDefault="004711D6" w:rsidP="00DC38DB">
            <w:pPr>
              <w:rPr>
                <w:rFonts w:ascii="Verdana" w:hAnsi="Verdana"/>
                <w:sz w:val="20"/>
                <w:szCs w:val="20"/>
              </w:rPr>
            </w:pPr>
          </w:p>
          <w:p w:rsidR="00C96C57" w:rsidRDefault="00C96C57" w:rsidP="00DC38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Safeguarding arrangements allow practitioners to work flexibly enough to accommodate the needs of people experiencing DV (e.g. longer term working, working to reduce not eliminate risk)</w:t>
            </w:r>
          </w:p>
          <w:p w:rsidR="004711D6" w:rsidRPr="00DC38DB" w:rsidRDefault="004711D6" w:rsidP="00DC38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C96C57" w:rsidRPr="00D7510A" w:rsidRDefault="00C96C57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C96C57" w:rsidRPr="00D7510A" w:rsidRDefault="00C96C57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128C" w:rsidRPr="00D7510A" w:rsidTr="00DC38DB">
        <w:tc>
          <w:tcPr>
            <w:tcW w:w="3080" w:type="dxa"/>
          </w:tcPr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9F128C" w:rsidRDefault="00DC38DB" w:rsidP="00372AB6">
            <w:pPr>
              <w:rPr>
                <w:rFonts w:ascii="Verdana" w:hAnsi="Verdana"/>
                <w:sz w:val="20"/>
                <w:szCs w:val="20"/>
              </w:rPr>
            </w:pPr>
            <w:r w:rsidRPr="00DC38DB">
              <w:rPr>
                <w:rFonts w:ascii="Verdana" w:hAnsi="Verdana"/>
                <w:sz w:val="20"/>
                <w:szCs w:val="20"/>
              </w:rPr>
              <w:t>Risk assessment</w:t>
            </w:r>
            <w:r>
              <w:rPr>
                <w:rFonts w:ascii="Verdana" w:hAnsi="Verdana"/>
                <w:sz w:val="20"/>
                <w:szCs w:val="20"/>
              </w:rPr>
              <w:t xml:space="preserve"> and management systems are set up around the person and focus on reducing or minimising risk to them</w:t>
            </w:r>
          </w:p>
          <w:p w:rsidR="004711D6" w:rsidRPr="00DC38DB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128C" w:rsidRPr="00D7510A" w:rsidTr="00DC38DB">
        <w:tc>
          <w:tcPr>
            <w:tcW w:w="3080" w:type="dxa"/>
          </w:tcPr>
          <w:p w:rsidR="004711D6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  <w:p w:rsidR="009F128C" w:rsidRDefault="00DC38DB" w:rsidP="00372AB6">
            <w:pPr>
              <w:rPr>
                <w:rFonts w:ascii="Verdana" w:hAnsi="Verdana"/>
                <w:sz w:val="20"/>
                <w:szCs w:val="20"/>
              </w:rPr>
            </w:pPr>
            <w:r w:rsidRPr="00DC38DB">
              <w:rPr>
                <w:rFonts w:ascii="Verdana" w:hAnsi="Verdana"/>
                <w:sz w:val="20"/>
                <w:szCs w:val="20"/>
              </w:rPr>
              <w:t>Organisations support their staff to be legally literate in the context of DV</w:t>
            </w:r>
            <w:r>
              <w:rPr>
                <w:rFonts w:ascii="Verdana" w:hAnsi="Verdana"/>
                <w:sz w:val="20"/>
                <w:szCs w:val="20"/>
              </w:rPr>
              <w:t xml:space="preserve"> (e.g. by knowing how and when to use a DVPO)</w:t>
            </w:r>
          </w:p>
          <w:p w:rsidR="004711D6" w:rsidRPr="00DC38DB" w:rsidRDefault="004711D6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:rsidR="009F128C" w:rsidRPr="00D7510A" w:rsidRDefault="009F128C" w:rsidP="00372A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510A" w:rsidRPr="00D7510A" w:rsidRDefault="003F550E" w:rsidP="00D751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6633B" w:rsidRPr="00D7510A" w:rsidRDefault="00B6633B" w:rsidP="00EA1A1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B6633B" w:rsidRPr="00D7510A" w:rsidSect="00996286">
      <w:headerReference w:type="default" r:id="rId7"/>
      <w:pgSz w:w="11906" w:h="16838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3B" w:rsidRDefault="00B6633B" w:rsidP="00EA1A1C">
      <w:pPr>
        <w:spacing w:after="0" w:line="240" w:lineRule="auto"/>
      </w:pPr>
      <w:r>
        <w:separator/>
      </w:r>
    </w:p>
  </w:endnote>
  <w:endnote w:type="continuationSeparator" w:id="0">
    <w:p w:rsidR="00B6633B" w:rsidRDefault="00B6633B" w:rsidP="00EA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3B" w:rsidRDefault="00B6633B" w:rsidP="00EA1A1C">
      <w:pPr>
        <w:spacing w:after="0" w:line="240" w:lineRule="auto"/>
      </w:pPr>
      <w:r>
        <w:separator/>
      </w:r>
    </w:p>
  </w:footnote>
  <w:footnote w:type="continuationSeparator" w:id="0">
    <w:p w:rsidR="00B6633B" w:rsidRDefault="00B6633B" w:rsidP="00EA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1C" w:rsidRDefault="00EA1A1C" w:rsidP="00EA1A1C">
    <w:pPr>
      <w:pStyle w:val="Header"/>
      <w:ind w:left="-142"/>
    </w:pPr>
    <w:r>
      <w:rPr>
        <w:noProof/>
        <w:lang w:eastAsia="en-GB"/>
      </w:rPr>
      <w:drawing>
        <wp:inline distT="0" distB="0" distL="0" distR="0" wp14:anchorId="76563871" wp14:editId="64C04A40">
          <wp:extent cx="1828800" cy="1219200"/>
          <wp:effectExtent l="0" t="0" r="0" b="0"/>
          <wp:docPr id="2" name="Picture 2" descr="C:\Users\yvonne.foord\AppData\Local\Microsoft\Windows\Temporary Internet Files\Content.Word\ripfa_6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nne.foord\AppData\Local\Microsoft\Windows\Temporary Internet Files\Content.Word\ripfa_6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76EE"/>
    <w:multiLevelType w:val="hybridMultilevel"/>
    <w:tmpl w:val="916ED69C"/>
    <w:lvl w:ilvl="0" w:tplc="D4DCA90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72C543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1E7E9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2962CF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32C4AB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B868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0D60BE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40CE6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056B87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4F925165"/>
    <w:multiLevelType w:val="hybridMultilevel"/>
    <w:tmpl w:val="B3A08818"/>
    <w:lvl w:ilvl="0" w:tplc="A424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89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CF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E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E5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6F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86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0B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73A3D"/>
    <w:multiLevelType w:val="hybridMultilevel"/>
    <w:tmpl w:val="F21E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B"/>
    <w:rsid w:val="00033CC3"/>
    <w:rsid w:val="00084564"/>
    <w:rsid w:val="001F51EB"/>
    <w:rsid w:val="002247D2"/>
    <w:rsid w:val="00237D28"/>
    <w:rsid w:val="0034489A"/>
    <w:rsid w:val="003F550E"/>
    <w:rsid w:val="00433BF5"/>
    <w:rsid w:val="004711D6"/>
    <w:rsid w:val="005057F6"/>
    <w:rsid w:val="00570858"/>
    <w:rsid w:val="00670E15"/>
    <w:rsid w:val="008D2D4A"/>
    <w:rsid w:val="00996286"/>
    <w:rsid w:val="009F128C"/>
    <w:rsid w:val="00B6633B"/>
    <w:rsid w:val="00BA6DB0"/>
    <w:rsid w:val="00C96C57"/>
    <w:rsid w:val="00D6376E"/>
    <w:rsid w:val="00D7510A"/>
    <w:rsid w:val="00DC38DB"/>
    <w:rsid w:val="00DE5E75"/>
    <w:rsid w:val="00E94825"/>
    <w:rsid w:val="00EA1A1C"/>
    <w:rsid w:val="00EC0EE9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722154-556E-4010-B686-8E96934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1C"/>
  </w:style>
  <w:style w:type="paragraph" w:styleId="Footer">
    <w:name w:val="footer"/>
    <w:basedOn w:val="Normal"/>
    <w:link w:val="FooterChar"/>
    <w:uiPriority w:val="99"/>
    <w:unhideWhenUsed/>
    <w:rsid w:val="00EA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1C"/>
  </w:style>
  <w:style w:type="paragraph" w:styleId="ListParagraph">
    <w:name w:val="List Paragraph"/>
    <w:basedOn w:val="Normal"/>
    <w:uiPriority w:val="34"/>
    <w:qFormat/>
    <w:rsid w:val="00B6633B"/>
    <w:pPr>
      <w:ind w:left="720"/>
      <w:contextualSpacing/>
    </w:pPr>
  </w:style>
  <w:style w:type="table" w:styleId="TableGrid">
    <w:name w:val="Table Grid"/>
    <w:basedOn w:val="TableNormal"/>
    <w:uiPriority w:val="59"/>
    <w:rsid w:val="00D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13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9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Pike</dc:creator>
  <cp:lastModifiedBy>Lindsey Pike</cp:lastModifiedBy>
  <cp:revision>2</cp:revision>
  <dcterms:created xsi:type="dcterms:W3CDTF">2016-11-16T21:15:00Z</dcterms:created>
  <dcterms:modified xsi:type="dcterms:W3CDTF">2016-11-16T21:15:00Z</dcterms:modified>
</cp:coreProperties>
</file>